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452CFA91"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per l’anno 201</w:t>
      </w:r>
      <w:r w:rsidR="003A063D">
        <w:rPr>
          <w:rFonts w:ascii="Trebuchet MS" w:hAnsi="Trebuchet MS"/>
          <w:sz w:val="20"/>
          <w:szCs w:val="20"/>
        </w:rPr>
        <w:t>8</w:t>
      </w:r>
      <w:bookmarkStart w:id="0" w:name="_GoBack"/>
      <w:bookmarkEnd w:id="0"/>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00251842"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2014/15, 2015/16</w:t>
      </w:r>
      <w:r w:rsidR="009C0D84">
        <w:rPr>
          <w:rFonts w:ascii="Trebuchet MS" w:hAnsi="Trebuchet MS"/>
          <w:sz w:val="20"/>
          <w:szCs w:val="20"/>
        </w:rPr>
        <w:t>, 2016/17</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10693B42"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(2015, 2016</w:t>
      </w:r>
      <w:r w:rsidR="009C0D84">
        <w:rPr>
          <w:rFonts w:ascii="Trebuchet MS" w:hAnsi="Trebuchet MS"/>
          <w:sz w:val="20"/>
          <w:szCs w:val="20"/>
        </w:rPr>
        <w:t>, 2017</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6381321B"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9C0D84">
        <w:rPr>
          <w:rFonts w:ascii="Trebuchet MS" w:hAnsi="Trebuchet MS"/>
          <w:sz w:val="20"/>
          <w:szCs w:val="20"/>
        </w:rPr>
        <w:t>(AA 2014/15, 2015/16, 2016/17)</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0C3EEFEE"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w:t>
      </w:r>
      <w:r w:rsidR="009C0D84">
        <w:rPr>
          <w:rFonts w:ascii="Trebuchet MS" w:hAnsi="Trebuchet MS"/>
          <w:sz w:val="20"/>
          <w:szCs w:val="20"/>
        </w:rPr>
        <w:t>(2015, 2016, 2017)</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4F19" w14:textId="77777777" w:rsidR="001020C0" w:rsidRDefault="001020C0" w:rsidP="008066A7">
      <w:pPr>
        <w:spacing w:after="0" w:line="240" w:lineRule="auto"/>
      </w:pPr>
      <w:r>
        <w:separator/>
      </w:r>
    </w:p>
  </w:endnote>
  <w:endnote w:type="continuationSeparator" w:id="0">
    <w:p w14:paraId="0CD94F1A" w14:textId="77777777" w:rsidR="001020C0" w:rsidRDefault="001020C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4F17" w14:textId="77777777" w:rsidR="001020C0" w:rsidRDefault="001020C0" w:rsidP="008066A7">
      <w:pPr>
        <w:spacing w:after="0" w:line="240" w:lineRule="auto"/>
      </w:pPr>
      <w:r>
        <w:separator/>
      </w:r>
    </w:p>
  </w:footnote>
  <w:footnote w:type="continuationSeparator" w:id="0">
    <w:p w14:paraId="0CD94F18" w14:textId="77777777" w:rsidR="001020C0" w:rsidRDefault="001020C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76E2FCD1" w:rsidR="00AF1D79" w:rsidRDefault="009C0D84" w:rsidP="00AF1D79">
    <w:pPr>
      <w:pStyle w:val="Intestazione"/>
      <w:jc w:val="right"/>
    </w:pPr>
    <w:r>
      <w:t>MODELLO B - 2018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A063D"/>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6011E"/>
    <w:rsid w:val="00563670"/>
    <w:rsid w:val="00563B7D"/>
    <w:rsid w:val="005730FA"/>
    <w:rsid w:val="00573FEC"/>
    <w:rsid w:val="00585F91"/>
    <w:rsid w:val="005A0839"/>
    <w:rsid w:val="005A29B6"/>
    <w:rsid w:val="005A4928"/>
    <w:rsid w:val="005A7F3F"/>
    <w:rsid w:val="005C35B7"/>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A2024"/>
    <w:rsid w:val="009A3E45"/>
    <w:rsid w:val="009B1318"/>
    <w:rsid w:val="009C0D84"/>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FC30-DF69-4A6B-8EAA-B238BA8A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5430</Characters>
  <Application>Microsoft Office Word</Application>
  <DocSecurity>0</DocSecurity>
  <Lines>45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4</cp:revision>
  <cp:lastPrinted>2014-09-16T08:59:00Z</cp:lastPrinted>
  <dcterms:created xsi:type="dcterms:W3CDTF">2019-08-12T07:50:00Z</dcterms:created>
  <dcterms:modified xsi:type="dcterms:W3CDTF">2019-08-12T07:58:00Z</dcterms:modified>
</cp:coreProperties>
</file>